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A5E4" w14:textId="15EFBE8C" w:rsidR="00BE4D38" w:rsidRDefault="00BE4D38" w:rsidP="00BE4D38">
      <w:pPr>
        <w:spacing w:line="360" w:lineRule="auto"/>
        <w:jc w:val="both"/>
      </w:pPr>
      <w:r w:rsidRPr="00BE4D38">
        <w:t xml:space="preserve">Badawi A, </w:t>
      </w:r>
      <w:proofErr w:type="spellStart"/>
      <w:r w:rsidRPr="00BE4D38">
        <w:t>Aloufi</w:t>
      </w:r>
      <w:proofErr w:type="spellEnd"/>
      <w:r w:rsidRPr="00BE4D38">
        <w:t xml:space="preserve"> H, </w:t>
      </w:r>
      <w:proofErr w:type="spellStart"/>
      <w:r w:rsidRPr="00BE4D38">
        <w:t>Almuzaini</w:t>
      </w:r>
      <w:proofErr w:type="spellEnd"/>
      <w:r w:rsidRPr="00BE4D38">
        <w:t xml:space="preserve"> M, Mohiuddin M, Mahran A, Ghazi A. Concomitant repair of a complex </w:t>
      </w:r>
      <w:proofErr w:type="spellStart"/>
      <w:r w:rsidRPr="00BE4D38">
        <w:t>rectovesicovaginal</w:t>
      </w:r>
      <w:proofErr w:type="spellEnd"/>
      <w:r w:rsidRPr="00BE4D38">
        <w:t xml:space="preserve"> fistula following extensive pelvic surgery: A case report. J Case Rep Images </w:t>
      </w:r>
      <w:proofErr w:type="spellStart"/>
      <w:r w:rsidRPr="00BE4D38">
        <w:t>Urol</w:t>
      </w:r>
      <w:proofErr w:type="spellEnd"/>
      <w:r w:rsidRPr="00BE4D38">
        <w:t xml:space="preserve"> 2026;11(1):21–25.</w:t>
      </w:r>
    </w:p>
    <w:sectPr w:rsidR="00BE4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38"/>
    <w:rsid w:val="0013709F"/>
    <w:rsid w:val="0015459F"/>
    <w:rsid w:val="001B6D82"/>
    <w:rsid w:val="001E419D"/>
    <w:rsid w:val="004F6E26"/>
    <w:rsid w:val="00603117"/>
    <w:rsid w:val="0094142D"/>
    <w:rsid w:val="00BE4D38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F0D7"/>
  <w15:chartTrackingRefBased/>
  <w15:docId w15:val="{596CB14C-EA58-4646-8480-D1E1AC74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D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D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D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D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2026-02-19T05:12:00Z</dcterms:created>
  <dcterms:modified xsi:type="dcterms:W3CDTF">2026-02-19T05:12:00Z</dcterms:modified>
</cp:coreProperties>
</file>