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A998" w14:textId="02A3A7BC" w:rsidR="00A32CE6" w:rsidRDefault="00A32CE6" w:rsidP="00A32CE6">
      <w:pPr>
        <w:spacing w:line="360" w:lineRule="auto"/>
      </w:pPr>
      <w:r w:rsidRPr="00A32CE6">
        <w:t xml:space="preserve">King T, </w:t>
      </w:r>
      <w:proofErr w:type="spellStart"/>
      <w:r w:rsidRPr="00A32CE6">
        <w:t>LaCouture</w:t>
      </w:r>
      <w:proofErr w:type="spellEnd"/>
      <w:r w:rsidRPr="00A32CE6">
        <w:t xml:space="preserve"> H, Jiménez DS, Meyers ML, Vemulakonda VM. Prenatal diagnosis of genital anomalies with MRI: A case series. J Case Rep Images </w:t>
      </w:r>
      <w:proofErr w:type="spellStart"/>
      <w:r w:rsidRPr="00A32CE6">
        <w:t>Urol</w:t>
      </w:r>
      <w:proofErr w:type="spellEnd"/>
      <w:r w:rsidRPr="00A32CE6">
        <w:t xml:space="preserve"> 2025;10(1):17–23.</w:t>
      </w:r>
    </w:p>
    <w:sectPr w:rsidR="00A32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E6"/>
    <w:rsid w:val="0013709F"/>
    <w:rsid w:val="00314FEE"/>
    <w:rsid w:val="00603117"/>
    <w:rsid w:val="00A32CE6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FB30"/>
  <w15:chartTrackingRefBased/>
  <w15:docId w15:val="{735E48B5-C89C-4E82-A853-56A7E6B2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C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C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C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C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2025-05-27T09:34:00Z</dcterms:created>
  <dcterms:modified xsi:type="dcterms:W3CDTF">2025-05-27T09:35:00Z</dcterms:modified>
</cp:coreProperties>
</file>