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97" w:rsidRPr="009957CE" w:rsidRDefault="009957CE" w:rsidP="009957CE">
      <w:pPr>
        <w:spacing w:line="360" w:lineRule="auto"/>
        <w:jc w:val="both"/>
        <w:rPr>
          <w:sz w:val="24"/>
          <w:szCs w:val="24"/>
        </w:rPr>
      </w:pPr>
      <w:proofErr w:type="spellStart"/>
      <w:r w:rsidRPr="009957CE">
        <w:rPr>
          <w:sz w:val="24"/>
          <w:szCs w:val="24"/>
        </w:rPr>
        <w:t>Bheenick</w:t>
      </w:r>
      <w:proofErr w:type="spellEnd"/>
      <w:r w:rsidRPr="009957CE">
        <w:rPr>
          <w:sz w:val="24"/>
          <w:szCs w:val="24"/>
        </w:rPr>
        <w:t xml:space="preserve"> D. A case of blunt abdominal trauma resulting in significant bladder injury (AAST grade IV). J Case Rep Images </w:t>
      </w:r>
      <w:proofErr w:type="spellStart"/>
      <w:r w:rsidRPr="009957CE">
        <w:rPr>
          <w:sz w:val="24"/>
          <w:szCs w:val="24"/>
        </w:rPr>
        <w:t>Urol</w:t>
      </w:r>
      <w:proofErr w:type="spellEnd"/>
      <w:r w:rsidRPr="009957CE">
        <w:rPr>
          <w:sz w:val="24"/>
          <w:szCs w:val="24"/>
        </w:rPr>
        <w:t xml:space="preserve"> 2022</w:t>
      </w:r>
      <w:proofErr w:type="gramStart"/>
      <w:r w:rsidRPr="009957CE">
        <w:rPr>
          <w:sz w:val="24"/>
          <w:szCs w:val="24"/>
        </w:rPr>
        <w:t>;7</w:t>
      </w:r>
      <w:proofErr w:type="gramEnd"/>
      <w:r w:rsidRPr="009957CE">
        <w:rPr>
          <w:sz w:val="24"/>
          <w:szCs w:val="24"/>
        </w:rPr>
        <w:t>(2):11–16.</w:t>
      </w:r>
      <w:bookmarkStart w:id="0" w:name="_GoBack"/>
      <w:bookmarkEnd w:id="0"/>
    </w:p>
    <w:sectPr w:rsidR="00415A97" w:rsidRPr="0099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CE"/>
    <w:rsid w:val="00415A97"/>
    <w:rsid w:val="009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BCC96-B7E4-4EB5-813E-8D4CB667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57C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2022-11-09T06:49:00Z</dcterms:created>
  <dcterms:modified xsi:type="dcterms:W3CDTF">2022-11-09T06:51:00Z</dcterms:modified>
</cp:coreProperties>
</file>